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Layout w:type="fixed"/>
      </w:tblPr>
      <w:tblGrid>
        <w:gridCol w:w="5741"/>
        <w:gridCol w:w="4010"/>
      </w:tblGrid>
      <w:tr>
        <w:tc>
          <w:tcPr>
            <w:tcW w:type="dxa" w:w="5741"/>
            <w:shd w:fill="auto" w:val="clear"/>
          </w:tcPr>
          <w:p w14:paraId="01000000">
            <w:pPr>
              <w:spacing w:before="14" w:line="264" w:lineRule="exact"/>
              <w:ind w:right="-55"/>
              <w:rPr>
                <w:color w:val="000000"/>
              </w:rPr>
            </w:pPr>
          </w:p>
        </w:tc>
        <w:tc>
          <w:tcPr>
            <w:tcW w:type="dxa" w:w="4010"/>
            <w:shd w:fill="auto" w:val="clear"/>
          </w:tcPr>
          <w:p w14:paraId="02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риложение № 1</w:t>
            </w:r>
          </w:p>
          <w:p w14:paraId="03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к протоколу заседания Правления</w:t>
            </w:r>
          </w:p>
          <w:p w14:paraId="04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Региональной службы по тарифам</w:t>
            </w:r>
          </w:p>
          <w:p w14:paraId="05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Ростовской области</w:t>
            </w:r>
          </w:p>
          <w:p w14:paraId="06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 17.10.2022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53</w:t>
            </w:r>
          </w:p>
        </w:tc>
      </w:tr>
    </w:tbl>
    <w:p w14:paraId="07000000">
      <w:pPr>
        <w:ind/>
        <w:jc w:val="center"/>
        <w:rPr>
          <w:b w:val="1"/>
          <w:sz w:val="20"/>
        </w:rPr>
      </w:pPr>
    </w:p>
    <w:p w14:paraId="08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drawing>
          <wp:inline>
            <wp:extent cx="617220" cy="61722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17220" cy="6172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ind/>
        <w:jc w:val="center"/>
        <w:rPr>
          <w:b w:val="1"/>
          <w:sz w:val="26"/>
        </w:rPr>
      </w:pPr>
    </w:p>
    <w:p w14:paraId="0A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РЕГИОНАЛЬНАЯ СЛУЖБА ПО ТАРИФАМ</w:t>
      </w:r>
    </w:p>
    <w:p w14:paraId="0B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РОСТОВСКОЙ ОБЛАСТИ</w:t>
      </w:r>
    </w:p>
    <w:p w14:paraId="0C000000">
      <w:pPr>
        <w:ind/>
        <w:jc w:val="center"/>
        <w:rPr>
          <w:b w:val="1"/>
          <w:sz w:val="26"/>
        </w:rPr>
      </w:pPr>
    </w:p>
    <w:p w14:paraId="0D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E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</w:p>
    <w:p w14:paraId="0F000000">
      <w:pPr>
        <w:ind w:firstLine="540" w:right="665"/>
        <w:jc w:val="center"/>
        <w:rPr>
          <w:color w:val="000000"/>
          <w:sz w:val="27"/>
        </w:rPr>
      </w:pPr>
      <w:r>
        <w:rPr>
          <w:color w:val="000000"/>
          <w:sz w:val="28"/>
        </w:rPr>
        <w:t>17.10.20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          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</w:t>
      </w:r>
      <w:r>
        <w:rPr>
          <w:color w:val="000000"/>
          <w:sz w:val="27"/>
        </w:rPr>
        <w:t xml:space="preserve">г. Ростов-на-Дону        </w:t>
      </w:r>
      <w:r>
        <w:rPr>
          <w:color w:val="000000"/>
          <w:sz w:val="27"/>
        </w:rPr>
        <w:t xml:space="preserve">    </w:t>
      </w:r>
      <w:r>
        <w:rPr>
          <w:color w:val="000000"/>
          <w:sz w:val="27"/>
        </w:rPr>
        <w:t xml:space="preserve">  </w:t>
      </w:r>
      <w:r>
        <w:rPr>
          <w:color w:val="000000"/>
          <w:sz w:val="27"/>
        </w:rPr>
        <w:t xml:space="preserve">    </w:t>
      </w:r>
      <w:r>
        <w:rPr>
          <w:color w:val="000000"/>
          <w:sz w:val="27"/>
        </w:rPr>
        <w:t xml:space="preserve">    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№ 53/1</w:t>
      </w:r>
    </w:p>
    <w:p w14:paraId="10000000">
      <w:pPr>
        <w:ind/>
        <w:jc w:val="center"/>
        <w:rPr>
          <w:b w:val="1"/>
          <w:color w:val="000000"/>
          <w:sz w:val="27"/>
        </w:rPr>
      </w:pPr>
    </w:p>
    <w:p w14:paraId="11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 xml:space="preserve">О результатах проведения мониторинга </w:t>
      </w:r>
    </w:p>
    <w:p w14:paraId="12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соблюдения</w:t>
      </w:r>
      <w:r>
        <w:rPr>
          <w:rFonts w:ascii="Times New Roman" w:hAnsi="Times New Roman"/>
          <w:b w:val="1"/>
          <w:color w:val="000000"/>
          <w:sz w:val="27"/>
        </w:rPr>
        <w:t xml:space="preserve"> </w:t>
      </w:r>
      <w:r>
        <w:rPr>
          <w:rFonts w:ascii="Times New Roman" w:hAnsi="Times New Roman"/>
          <w:b w:val="1"/>
          <w:color w:val="000000"/>
          <w:sz w:val="27"/>
        </w:rPr>
        <w:t xml:space="preserve">предельных </w:t>
      </w:r>
      <w:r>
        <w:rPr>
          <w:rFonts w:ascii="Times New Roman" w:hAnsi="Times New Roman"/>
          <w:b w:val="1"/>
          <w:color w:val="000000"/>
          <w:sz w:val="27"/>
        </w:rPr>
        <w:t xml:space="preserve">(максимальных) </w:t>
      </w:r>
      <w:r>
        <w:rPr>
          <w:rFonts w:ascii="Times New Roman" w:hAnsi="Times New Roman"/>
          <w:b w:val="1"/>
          <w:color w:val="000000"/>
          <w:sz w:val="27"/>
        </w:rPr>
        <w:t xml:space="preserve">индексов </w:t>
      </w:r>
      <w:r>
        <w:rPr>
          <w:rFonts w:ascii="Times New Roman" w:hAnsi="Times New Roman"/>
          <w:b w:val="1"/>
          <w:sz w:val="27"/>
        </w:rPr>
        <w:t xml:space="preserve">изменения </w:t>
      </w:r>
    </w:p>
    <w:p w14:paraId="13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размера вносимой гражданами платы за коммунальные услуги </w:t>
      </w:r>
    </w:p>
    <w:p w14:paraId="14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sz w:val="27"/>
        </w:rPr>
        <w:t xml:space="preserve">в муниципальных образованиях Ростовской области </w:t>
      </w:r>
    </w:p>
    <w:p w14:paraId="15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за сентябрь</w:t>
      </w:r>
      <w:r>
        <w:rPr>
          <w:rFonts w:ascii="Times New Roman" w:hAnsi="Times New Roman"/>
          <w:b w:val="1"/>
          <w:color w:val="000000"/>
          <w:sz w:val="27"/>
        </w:rPr>
        <w:t xml:space="preserve"> 20</w:t>
      </w:r>
      <w:r>
        <w:rPr>
          <w:rFonts w:ascii="Times New Roman" w:hAnsi="Times New Roman"/>
          <w:b w:val="1"/>
          <w:color w:val="000000"/>
          <w:sz w:val="27"/>
        </w:rPr>
        <w:t>2</w:t>
      </w:r>
      <w:r>
        <w:rPr>
          <w:rFonts w:ascii="Times New Roman" w:hAnsi="Times New Roman"/>
          <w:b w:val="1"/>
          <w:color w:val="000000"/>
          <w:sz w:val="27"/>
        </w:rPr>
        <w:t>2</w:t>
      </w:r>
      <w:r>
        <w:rPr>
          <w:rFonts w:ascii="Times New Roman" w:hAnsi="Times New Roman"/>
          <w:b w:val="1"/>
          <w:color w:val="000000"/>
          <w:sz w:val="27"/>
        </w:rPr>
        <w:t xml:space="preserve"> года</w:t>
      </w:r>
    </w:p>
    <w:p w14:paraId="16000000">
      <w:pPr>
        <w:pStyle w:val="Style_3"/>
        <w:ind w:firstLine="540"/>
        <w:jc w:val="center"/>
        <w:rPr>
          <w:sz w:val="27"/>
        </w:rPr>
      </w:pPr>
    </w:p>
    <w:p w14:paraId="17000000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>В соответс</w:t>
      </w:r>
      <w:r>
        <w:rPr>
          <w:sz w:val="27"/>
        </w:rPr>
        <w:t xml:space="preserve">твии с </w:t>
      </w:r>
      <w:r>
        <w:rPr>
          <w:sz w:val="27"/>
        </w:rPr>
        <w:t>п</w:t>
      </w:r>
      <w:r>
        <w:rPr>
          <w:sz w:val="27"/>
        </w:rPr>
        <w:t>остановлением Правительства Российской Федерации от 30.04.2014 № 400 «О формировании индексов изменения размера платы</w:t>
      </w:r>
      <w:r>
        <w:rPr>
          <w:sz w:val="27"/>
        </w:rPr>
        <w:t xml:space="preserve"> </w:t>
      </w:r>
      <w:r>
        <w:rPr>
          <w:sz w:val="27"/>
        </w:rPr>
        <w:t xml:space="preserve">граждан за коммунальные услуги в </w:t>
      </w:r>
      <w:r>
        <w:rPr>
          <w:sz w:val="27"/>
        </w:rPr>
        <w:t>Российской Федерации»,</w:t>
      </w:r>
      <w:r>
        <w:rPr>
          <w:sz w:val="27"/>
        </w:rPr>
        <w:t xml:space="preserve"> постановлением Правительства Ростовской области от </w:t>
      </w:r>
      <w:r>
        <w:rPr>
          <w:sz w:val="27"/>
        </w:rPr>
        <w:t>22.03.2013 № 165 «</w:t>
      </w:r>
      <w:r>
        <w:rPr>
          <w:sz w:val="27"/>
        </w:rPr>
        <w:t xml:space="preserve">Об ограничении в Ростовской области роста размера платы граждан за коммунальные услуги» </w:t>
      </w:r>
      <w:r>
        <w:rPr>
          <w:sz w:val="27"/>
        </w:rPr>
        <w:t>Региональная служба по тарифам Ростовской области</w:t>
      </w:r>
    </w:p>
    <w:p w14:paraId="18000000">
      <w:pPr>
        <w:spacing w:line="264" w:lineRule="auto"/>
        <w:ind/>
        <w:jc w:val="both"/>
        <w:rPr>
          <w:sz w:val="27"/>
        </w:rPr>
      </w:pPr>
    </w:p>
    <w:p w14:paraId="19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постановляет:</w:t>
      </w:r>
    </w:p>
    <w:p w14:paraId="1A000000">
      <w:pPr>
        <w:pStyle w:val="Style_3"/>
        <w:ind w:firstLine="0"/>
        <w:jc w:val="center"/>
        <w:rPr>
          <w:rFonts w:ascii="Times New Roman" w:hAnsi="Times New Roman"/>
          <w:sz w:val="27"/>
        </w:rPr>
      </w:pPr>
    </w:p>
    <w:p w14:paraId="1B000000">
      <w:pPr>
        <w:pStyle w:val="Style_3"/>
        <w:tabs>
          <w:tab w:leader="none" w:pos="1080" w:val="left"/>
        </w:tabs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 xml:space="preserve">Опубликовать </w:t>
      </w:r>
      <w:r>
        <w:rPr>
          <w:rFonts w:ascii="Times New Roman" w:hAnsi="Times New Roman"/>
          <w:sz w:val="27"/>
        </w:rPr>
        <w:t xml:space="preserve">на официальном сайте Региональной службы по тарифам Ростовской области http://rst.donland.ru, а также в источнике официального опубликования нормативных правовых актов органов государственной власти Ростовской области </w:t>
      </w:r>
      <w:r>
        <w:rPr>
          <w:rFonts w:ascii="Times New Roman" w:hAnsi="Times New Roman"/>
          <w:sz w:val="27"/>
        </w:rPr>
        <w:t>результаты проведения мониторинга соблюдения предельных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(максимальных)</w:t>
      </w:r>
      <w:r>
        <w:rPr>
          <w:rFonts w:ascii="Times New Roman" w:hAnsi="Times New Roman"/>
          <w:b w:val="1"/>
          <w:color w:val="000000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индексов </w:t>
      </w:r>
      <w:r>
        <w:rPr>
          <w:rFonts w:ascii="Times New Roman" w:hAnsi="Times New Roman"/>
          <w:sz w:val="27"/>
        </w:rPr>
        <w:t xml:space="preserve">изменения размера </w:t>
      </w:r>
      <w:r>
        <w:rPr>
          <w:rFonts w:ascii="Times New Roman" w:hAnsi="Times New Roman"/>
          <w:sz w:val="27"/>
        </w:rPr>
        <w:t>вносимой гражданами платы</w:t>
      </w:r>
      <w:r>
        <w:rPr>
          <w:rFonts w:ascii="Times New Roman" w:hAnsi="Times New Roman"/>
          <w:sz w:val="27"/>
        </w:rPr>
        <w:t xml:space="preserve"> за коммунальные услуги </w:t>
      </w:r>
      <w:r>
        <w:rPr>
          <w:rFonts w:ascii="Times New Roman" w:hAnsi="Times New Roman"/>
          <w:sz w:val="27"/>
        </w:rPr>
        <w:t xml:space="preserve">в муниципальных образованиях </w:t>
      </w:r>
      <w:r>
        <w:rPr>
          <w:rFonts w:ascii="Times New Roman" w:hAnsi="Times New Roman"/>
          <w:sz w:val="27"/>
        </w:rPr>
        <w:t>Ростовской области за сентябрь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года </w:t>
      </w:r>
      <w:r>
        <w:rPr>
          <w:rFonts w:ascii="Times New Roman" w:hAnsi="Times New Roman"/>
          <w:sz w:val="27"/>
        </w:rPr>
        <w:t>согласно приложению к постановлению.</w:t>
      </w:r>
    </w:p>
    <w:p w14:paraId="1C000000">
      <w:pPr>
        <w:pStyle w:val="Style_3"/>
        <w:tabs>
          <w:tab w:leader="none" w:pos="1080" w:val="left"/>
        </w:tabs>
        <w:ind/>
        <w:jc w:val="both"/>
        <w:rPr>
          <w:rFonts w:ascii="Times New Roman" w:hAnsi="Times New Roman"/>
          <w:sz w:val="27"/>
        </w:rPr>
      </w:pPr>
    </w:p>
    <w:p w14:paraId="1D000000">
      <w:pPr>
        <w:widowControl w:val="0"/>
        <w:tabs>
          <w:tab w:leader="none" w:pos="979" w:val="left"/>
        </w:tabs>
        <w:ind w:firstLine="720"/>
        <w:jc w:val="both"/>
        <w:rPr>
          <w:color w:val="000000"/>
          <w:spacing w:val="-1"/>
          <w:sz w:val="27"/>
        </w:rPr>
      </w:pPr>
    </w:p>
    <w:p w14:paraId="1E000000">
      <w:pPr>
        <w:widowControl w:val="0"/>
        <w:tabs>
          <w:tab w:leader="none" w:pos="979" w:val="left"/>
        </w:tabs>
        <w:ind/>
        <w:jc w:val="both"/>
        <w:rPr>
          <w:color w:val="000000"/>
          <w:spacing w:val="-1"/>
          <w:sz w:val="27"/>
        </w:rPr>
      </w:pPr>
    </w:p>
    <w:p w14:paraId="1F000000">
      <w:pPr>
        <w:widowControl w:val="0"/>
        <w:tabs>
          <w:tab w:leader="none" w:pos="979" w:val="left"/>
        </w:tabs>
        <w:ind/>
        <w:jc w:val="both"/>
        <w:rPr>
          <w:color w:val="000000"/>
          <w:spacing w:val="-1"/>
          <w:sz w:val="27"/>
        </w:rPr>
      </w:pPr>
    </w:p>
    <w:p w14:paraId="20000000">
      <w:pPr>
        <w:pStyle w:val="Style_3"/>
        <w:ind w:firstLine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Р</w:t>
      </w:r>
      <w:r>
        <w:rPr>
          <w:rFonts w:ascii="Times New Roman" w:hAnsi="Times New Roman"/>
          <w:b w:val="1"/>
          <w:sz w:val="27"/>
        </w:rPr>
        <w:t xml:space="preserve">уководитель </w:t>
      </w:r>
    </w:p>
    <w:p w14:paraId="21000000">
      <w:pPr>
        <w:pStyle w:val="Style_3"/>
        <w:ind w:firstLine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Региональной службы по тарифам </w:t>
      </w:r>
    </w:p>
    <w:p w14:paraId="22000000">
      <w:pPr>
        <w:pStyle w:val="Style_3"/>
        <w:ind w:firstLine="0"/>
        <w:jc w:val="both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sz w:val="27"/>
        </w:rPr>
        <w:t xml:space="preserve">Ростовской области </w:t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 xml:space="preserve">      </w:t>
      </w:r>
      <w:r>
        <w:rPr>
          <w:rFonts w:ascii="Times New Roman" w:hAnsi="Times New Roman"/>
          <w:b w:val="1"/>
          <w:sz w:val="27"/>
        </w:rPr>
        <w:t xml:space="preserve">          </w:t>
      </w:r>
      <w:r>
        <w:rPr>
          <w:rFonts w:ascii="Times New Roman" w:hAnsi="Times New Roman"/>
          <w:b w:val="1"/>
          <w:sz w:val="27"/>
        </w:rPr>
        <w:t xml:space="preserve">    </w:t>
      </w:r>
      <w:r>
        <w:rPr>
          <w:rFonts w:ascii="Times New Roman" w:hAnsi="Times New Roman"/>
          <w:b w:val="1"/>
          <w:sz w:val="27"/>
        </w:rPr>
        <w:t xml:space="preserve">      </w:t>
      </w:r>
      <w:r>
        <w:rPr>
          <w:rFonts w:ascii="Times New Roman" w:hAnsi="Times New Roman"/>
          <w:b w:val="1"/>
          <w:sz w:val="27"/>
        </w:rPr>
        <w:t xml:space="preserve">       </w:t>
      </w:r>
      <w:r>
        <w:rPr>
          <w:rFonts w:ascii="Times New Roman" w:hAnsi="Times New Roman"/>
          <w:b w:val="1"/>
          <w:sz w:val="27"/>
        </w:rPr>
        <w:t>А</w:t>
      </w:r>
      <w:r>
        <w:rPr>
          <w:rFonts w:ascii="Times New Roman" w:hAnsi="Times New Roman"/>
          <w:b w:val="1"/>
          <w:sz w:val="27"/>
        </w:rPr>
        <w:t xml:space="preserve">.В. </w:t>
      </w:r>
      <w:r>
        <w:rPr>
          <w:rFonts w:ascii="Times New Roman" w:hAnsi="Times New Roman"/>
          <w:b w:val="1"/>
          <w:sz w:val="27"/>
        </w:rPr>
        <w:t>Лукьянов</w:t>
      </w:r>
    </w:p>
    <w:p w14:paraId="23000000">
      <w:pPr>
        <w:tabs>
          <w:tab w:leader="none" w:pos="850" w:val="left"/>
        </w:tabs>
        <w:spacing w:line="302" w:lineRule="exact"/>
        <w:ind w:hanging="11" w:left="11"/>
        <w:rPr>
          <w:b w:val="1"/>
          <w:color w:val="000000"/>
          <w:sz w:val="27"/>
          <w:highlight w:val="yellow"/>
        </w:rPr>
      </w:pPr>
    </w:p>
    <w:p w14:paraId="24000000">
      <w:pPr>
        <w:ind/>
        <w:jc w:val="right"/>
      </w:pPr>
    </w:p>
    <w:p w14:paraId="25000000">
      <w:pPr>
        <w:ind/>
        <w:jc w:val="right"/>
      </w:pPr>
    </w:p>
    <w:p w14:paraId="26000000">
      <w:pPr>
        <w:ind/>
        <w:jc w:val="right"/>
      </w:pPr>
      <w:r>
        <w:t>Приложение</w:t>
      </w:r>
      <w:r>
        <w:t xml:space="preserve"> </w:t>
      </w:r>
    </w:p>
    <w:p w14:paraId="27000000">
      <w:pPr>
        <w:ind/>
        <w:jc w:val="right"/>
      </w:pPr>
      <w:r>
        <w:t xml:space="preserve">к постановлению </w:t>
      </w:r>
    </w:p>
    <w:p w14:paraId="28000000">
      <w:pPr>
        <w:ind/>
        <w:jc w:val="right"/>
      </w:pPr>
      <w:r>
        <w:t>Региональной службы</w:t>
      </w:r>
      <w:r>
        <w:t xml:space="preserve"> </w:t>
      </w:r>
      <w:r>
        <w:t xml:space="preserve">по тарифам </w:t>
      </w:r>
    </w:p>
    <w:p w14:paraId="29000000">
      <w:pPr>
        <w:ind/>
        <w:jc w:val="right"/>
      </w:pPr>
      <w:r>
        <w:t>Ростовской области</w:t>
      </w:r>
    </w:p>
    <w:p w14:paraId="2A000000">
      <w:pPr>
        <w:ind/>
        <w:jc w:val="right"/>
      </w:pPr>
      <w:r>
        <w:t>о</w:t>
      </w:r>
      <w:r>
        <w:t>т</w:t>
      </w:r>
      <w:r>
        <w:t xml:space="preserve"> 17.10.2022</w:t>
      </w:r>
      <w:r>
        <w:t xml:space="preserve"> </w:t>
      </w:r>
      <w:r>
        <w:t>№</w:t>
      </w:r>
      <w:r>
        <w:t xml:space="preserve"> 53/1</w:t>
      </w:r>
    </w:p>
    <w:p w14:paraId="2B000000">
      <w:pPr>
        <w:ind/>
        <w:jc w:val="right"/>
        <w:rPr>
          <w:sz w:val="20"/>
        </w:rPr>
      </w:pPr>
    </w:p>
    <w:p w14:paraId="2C000000">
      <w:pPr>
        <w:ind/>
        <w:jc w:val="right"/>
        <w:rPr>
          <w:sz w:val="20"/>
        </w:rPr>
      </w:pPr>
    </w:p>
    <w:p w14:paraId="2D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Результат</w:t>
      </w:r>
      <w:r>
        <w:rPr>
          <w:rFonts w:ascii="Times New Roman" w:hAnsi="Times New Roman"/>
          <w:color w:val="000000"/>
          <w:sz w:val="27"/>
        </w:rPr>
        <w:t>ы</w:t>
      </w:r>
      <w:r>
        <w:rPr>
          <w:rFonts w:ascii="Times New Roman" w:hAnsi="Times New Roman"/>
          <w:color w:val="000000"/>
          <w:sz w:val="27"/>
        </w:rPr>
        <w:t xml:space="preserve"> проведения мониторинга </w:t>
      </w:r>
    </w:p>
    <w:p w14:paraId="2E000000">
      <w:pPr>
        <w:pStyle w:val="Style_3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соблюдения предельных </w:t>
      </w:r>
      <w:r>
        <w:rPr>
          <w:rFonts w:ascii="Times New Roman" w:hAnsi="Times New Roman"/>
          <w:sz w:val="27"/>
        </w:rPr>
        <w:t>(максимальных) индексов изменения</w:t>
      </w:r>
      <w:r>
        <w:rPr>
          <w:rFonts w:ascii="Times New Roman" w:hAnsi="Times New Roman"/>
          <w:sz w:val="27"/>
        </w:rPr>
        <w:t xml:space="preserve"> размера </w:t>
      </w:r>
    </w:p>
    <w:p w14:paraId="2F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sz w:val="27"/>
        </w:rPr>
        <w:t>вносимой гражданами платы за коммунальные услуги</w:t>
      </w:r>
      <w:r>
        <w:rPr>
          <w:rFonts w:ascii="Times New Roman" w:hAnsi="Times New Roman"/>
          <w:color w:val="000000"/>
          <w:sz w:val="27"/>
        </w:rPr>
        <w:t xml:space="preserve"> </w:t>
      </w:r>
    </w:p>
    <w:p w14:paraId="30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в </w:t>
      </w:r>
      <w:r>
        <w:rPr>
          <w:rFonts w:ascii="Times New Roman" w:hAnsi="Times New Roman"/>
          <w:color w:val="000000"/>
          <w:sz w:val="27"/>
        </w:rPr>
        <w:t xml:space="preserve">муниципальных образованиях </w:t>
      </w:r>
      <w:r>
        <w:rPr>
          <w:rFonts w:ascii="Times New Roman" w:hAnsi="Times New Roman"/>
          <w:color w:val="000000"/>
          <w:sz w:val="27"/>
        </w:rPr>
        <w:t xml:space="preserve">Ростовской области </w:t>
      </w:r>
    </w:p>
    <w:p w14:paraId="31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за</w:t>
      </w:r>
      <w:r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sz w:val="27"/>
        </w:rPr>
        <w:t>сентябрь 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года</w:t>
      </w:r>
    </w:p>
    <w:p w14:paraId="32000000">
      <w:pPr>
        <w:ind/>
        <w:jc w:val="both"/>
        <w:rPr>
          <w:sz w:val="27"/>
        </w:rPr>
      </w:pPr>
    </w:p>
    <w:p w14:paraId="33000000">
      <w:pPr>
        <w:pStyle w:val="Style_4"/>
        <w:ind w:firstLine="708"/>
        <w:jc w:val="both"/>
        <w:rPr>
          <w:sz w:val="27"/>
        </w:rPr>
      </w:pPr>
      <w:r>
        <w:rPr>
          <w:sz w:val="27"/>
        </w:rPr>
        <w:t xml:space="preserve">В соответствии с постановлением Правительства </w:t>
      </w:r>
      <w:r>
        <w:rPr>
          <w:sz w:val="27"/>
        </w:rPr>
        <w:t>Р</w:t>
      </w:r>
      <w:r>
        <w:rPr>
          <w:sz w:val="27"/>
        </w:rPr>
        <w:t xml:space="preserve">оссийской </w:t>
      </w:r>
      <w:r>
        <w:rPr>
          <w:sz w:val="27"/>
        </w:rPr>
        <w:t>Ф</w:t>
      </w:r>
      <w:r>
        <w:rPr>
          <w:sz w:val="27"/>
        </w:rPr>
        <w:t>едерации</w:t>
      </w:r>
      <w:r>
        <w:rPr>
          <w:sz w:val="27"/>
        </w:rPr>
        <w:t xml:space="preserve"> </w:t>
      </w:r>
      <w:r>
        <w:rPr>
          <w:sz w:val="27"/>
        </w:rPr>
        <w:t xml:space="preserve">       </w:t>
      </w:r>
      <w:r>
        <w:rPr>
          <w:sz w:val="27"/>
        </w:rPr>
        <w:t>от 30.04.2014 № 400 «О формировании индексов изменения размера платы граждан за коммунальные услуги в Российской Федерации»</w:t>
      </w:r>
      <w:r>
        <w:rPr>
          <w:sz w:val="27"/>
        </w:rPr>
        <w:t xml:space="preserve">, </w:t>
      </w:r>
      <w:r>
        <w:rPr>
          <w:sz w:val="27"/>
        </w:rPr>
        <w:t>распоряжени</w:t>
      </w:r>
      <w:r>
        <w:rPr>
          <w:sz w:val="27"/>
        </w:rPr>
        <w:t>я</w:t>
      </w:r>
      <w:r>
        <w:rPr>
          <w:sz w:val="27"/>
        </w:rPr>
        <w:t>м</w:t>
      </w:r>
      <w:r>
        <w:rPr>
          <w:sz w:val="27"/>
        </w:rPr>
        <w:t>и</w:t>
      </w:r>
      <w:r>
        <w:rPr>
          <w:sz w:val="27"/>
        </w:rPr>
        <w:t xml:space="preserve"> Правительства Российской Федерации </w:t>
      </w:r>
      <w:r>
        <w:rPr>
          <w:sz w:val="27"/>
        </w:rPr>
        <w:t xml:space="preserve">от </w:t>
      </w:r>
      <w:r>
        <w:rPr>
          <w:sz w:val="27"/>
        </w:rPr>
        <w:t>15</w:t>
      </w:r>
      <w:r>
        <w:rPr>
          <w:sz w:val="27"/>
        </w:rPr>
        <w:t>.1</w:t>
      </w:r>
      <w:r>
        <w:rPr>
          <w:sz w:val="27"/>
        </w:rPr>
        <w:t>1</w:t>
      </w:r>
      <w:r>
        <w:rPr>
          <w:sz w:val="27"/>
        </w:rPr>
        <w:t>.201</w:t>
      </w:r>
      <w:r>
        <w:rPr>
          <w:sz w:val="27"/>
        </w:rPr>
        <w:t>8</w:t>
      </w:r>
      <w:r>
        <w:rPr>
          <w:sz w:val="27"/>
        </w:rPr>
        <w:t xml:space="preserve"> № 2</w:t>
      </w:r>
      <w:r>
        <w:rPr>
          <w:sz w:val="27"/>
        </w:rPr>
        <w:t>490-р</w:t>
      </w:r>
      <w:r>
        <w:rPr>
          <w:sz w:val="27"/>
        </w:rPr>
        <w:t xml:space="preserve"> и от </w:t>
      </w:r>
      <w:r>
        <w:rPr>
          <w:sz w:val="27"/>
        </w:rPr>
        <w:t>30</w:t>
      </w:r>
      <w:r>
        <w:rPr>
          <w:sz w:val="27"/>
        </w:rPr>
        <w:t>.10.20</w:t>
      </w:r>
      <w:r>
        <w:rPr>
          <w:sz w:val="27"/>
        </w:rPr>
        <w:t xml:space="preserve">21 </w:t>
      </w:r>
      <w:r>
        <w:rPr>
          <w:sz w:val="27"/>
        </w:rPr>
        <w:t xml:space="preserve">        </w:t>
      </w:r>
      <w:r>
        <w:rPr>
          <w:sz w:val="27"/>
        </w:rPr>
        <w:t>№ 3073</w:t>
      </w:r>
      <w:r>
        <w:rPr>
          <w:sz w:val="27"/>
        </w:rPr>
        <w:t>-р</w:t>
      </w:r>
      <w:r>
        <w:rPr>
          <w:sz w:val="27"/>
        </w:rPr>
        <w:t xml:space="preserve"> </w:t>
      </w:r>
      <w:r>
        <w:rPr>
          <w:sz w:val="27"/>
        </w:rPr>
        <w:t>распоряжением</w:t>
      </w:r>
      <w:r>
        <w:rPr>
          <w:sz w:val="27"/>
        </w:rPr>
        <w:t xml:space="preserve"> </w:t>
      </w:r>
      <w:r>
        <w:rPr>
          <w:sz w:val="27"/>
        </w:rPr>
        <w:t xml:space="preserve">Губернатора </w:t>
      </w:r>
      <w:r>
        <w:rPr>
          <w:sz w:val="27"/>
        </w:rPr>
        <w:t xml:space="preserve">Ростовской области </w:t>
      </w:r>
      <w:r>
        <w:rPr>
          <w:sz w:val="27"/>
        </w:rPr>
        <w:t xml:space="preserve">от </w:t>
      </w:r>
      <w:r>
        <w:rPr>
          <w:sz w:val="27"/>
        </w:rPr>
        <w:t>15</w:t>
      </w:r>
      <w:r>
        <w:rPr>
          <w:sz w:val="27"/>
        </w:rPr>
        <w:t>.1</w:t>
      </w:r>
      <w:r>
        <w:rPr>
          <w:sz w:val="27"/>
        </w:rPr>
        <w:t>2</w:t>
      </w:r>
      <w:r>
        <w:rPr>
          <w:sz w:val="27"/>
        </w:rPr>
        <w:t>.20</w:t>
      </w:r>
      <w:r>
        <w:rPr>
          <w:sz w:val="27"/>
        </w:rPr>
        <w:t>2</w:t>
      </w:r>
      <w:r>
        <w:rPr>
          <w:sz w:val="27"/>
        </w:rPr>
        <w:t>1</w:t>
      </w:r>
      <w:r>
        <w:rPr>
          <w:sz w:val="27"/>
        </w:rPr>
        <w:t xml:space="preserve"> № </w:t>
      </w:r>
      <w:r>
        <w:rPr>
          <w:sz w:val="27"/>
        </w:rPr>
        <w:t>324</w:t>
      </w:r>
      <w:r>
        <w:rPr>
          <w:sz w:val="27"/>
        </w:rPr>
        <w:t xml:space="preserve"> </w:t>
      </w:r>
      <w:r>
        <w:rPr>
          <w:sz w:val="27"/>
        </w:rPr>
        <w:t>«</w:t>
      </w:r>
      <w:r>
        <w:rPr>
          <w:sz w:val="27"/>
        </w:rPr>
        <w:t>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</w:t>
      </w:r>
      <w:r>
        <w:rPr>
          <w:sz w:val="27"/>
        </w:rPr>
        <w:t xml:space="preserve"> на 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год</w:t>
      </w:r>
      <w:r>
        <w:rPr>
          <w:sz w:val="27"/>
        </w:rPr>
        <w:t xml:space="preserve">» установлены предельные (максимальные) индексы изменения размера вносимой гражданами платы за коммунальные услуги </w:t>
      </w:r>
      <w:r>
        <w:rPr>
          <w:sz w:val="27"/>
        </w:rPr>
        <w:t>по</w:t>
      </w:r>
      <w:r>
        <w:rPr>
          <w:sz w:val="27"/>
        </w:rPr>
        <w:t xml:space="preserve"> муниципальны</w:t>
      </w:r>
      <w:r>
        <w:rPr>
          <w:sz w:val="27"/>
        </w:rPr>
        <w:t>м</w:t>
      </w:r>
      <w:r>
        <w:rPr>
          <w:sz w:val="27"/>
        </w:rPr>
        <w:t xml:space="preserve"> образования</w:t>
      </w:r>
      <w:r>
        <w:rPr>
          <w:sz w:val="27"/>
        </w:rPr>
        <w:t>м</w:t>
      </w:r>
      <w:r>
        <w:rPr>
          <w:sz w:val="27"/>
        </w:rPr>
        <w:t xml:space="preserve"> Ростовской области </w:t>
      </w:r>
      <w:r>
        <w:rPr>
          <w:sz w:val="27"/>
        </w:rPr>
        <w:t>на 20</w:t>
      </w:r>
      <w:r>
        <w:rPr>
          <w:sz w:val="27"/>
        </w:rPr>
        <w:t>22</w:t>
      </w:r>
      <w:r>
        <w:rPr>
          <w:sz w:val="27"/>
        </w:rPr>
        <w:t xml:space="preserve"> год</w:t>
      </w:r>
      <w:r>
        <w:rPr>
          <w:sz w:val="27"/>
        </w:rPr>
        <w:t xml:space="preserve"> </w:t>
      </w:r>
      <w:r>
        <w:rPr>
          <w:sz w:val="27"/>
        </w:rPr>
        <w:t>с 01.01.20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по 30.06.20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– </w:t>
      </w:r>
      <w:r>
        <w:rPr>
          <w:sz w:val="27"/>
        </w:rPr>
        <w:t>0</w:t>
      </w:r>
      <w:r>
        <w:rPr>
          <w:sz w:val="27"/>
        </w:rPr>
        <w:t xml:space="preserve"> </w:t>
      </w:r>
      <w:r>
        <w:rPr>
          <w:sz w:val="27"/>
        </w:rPr>
        <w:t>% (</w:t>
      </w:r>
      <w:r>
        <w:rPr>
          <w:sz w:val="27"/>
        </w:rPr>
        <w:t xml:space="preserve">без </w:t>
      </w:r>
      <w:r>
        <w:rPr>
          <w:sz w:val="27"/>
        </w:rPr>
        <w:t>рост</w:t>
      </w:r>
      <w:r>
        <w:rPr>
          <w:sz w:val="27"/>
        </w:rPr>
        <w:t>а</w:t>
      </w:r>
      <w:r>
        <w:rPr>
          <w:sz w:val="27"/>
        </w:rPr>
        <w:t xml:space="preserve"> к декабрю 20</w:t>
      </w:r>
      <w:r>
        <w:rPr>
          <w:sz w:val="27"/>
        </w:rPr>
        <w:t>21</w:t>
      </w:r>
      <w:r>
        <w:rPr>
          <w:sz w:val="27"/>
        </w:rPr>
        <w:t xml:space="preserve"> года</w:t>
      </w:r>
      <w:r>
        <w:rPr>
          <w:sz w:val="27"/>
        </w:rPr>
        <w:t>)</w:t>
      </w:r>
      <w:r>
        <w:rPr>
          <w:sz w:val="27"/>
        </w:rPr>
        <w:t xml:space="preserve">, </w:t>
      </w:r>
      <w:r>
        <w:rPr>
          <w:sz w:val="27"/>
        </w:rPr>
        <w:t>с 01.07.20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по 31.12.202</w:t>
      </w:r>
      <w:r>
        <w:rPr>
          <w:sz w:val="27"/>
        </w:rPr>
        <w:t>2</w:t>
      </w:r>
      <w:r>
        <w:rPr>
          <w:sz w:val="27"/>
        </w:rPr>
        <w:t xml:space="preserve"> – от </w:t>
      </w:r>
      <w:r>
        <w:rPr>
          <w:sz w:val="27"/>
        </w:rPr>
        <w:t>3</w:t>
      </w:r>
      <w:r>
        <w:rPr>
          <w:sz w:val="27"/>
        </w:rPr>
        <w:t>,</w:t>
      </w:r>
      <w:r>
        <w:rPr>
          <w:sz w:val="27"/>
        </w:rPr>
        <w:t>9</w:t>
      </w:r>
      <w:r>
        <w:rPr>
          <w:sz w:val="27"/>
        </w:rPr>
        <w:t xml:space="preserve"> </w:t>
      </w:r>
      <w:r>
        <w:rPr>
          <w:sz w:val="27"/>
        </w:rPr>
        <w:t xml:space="preserve">% до </w:t>
      </w:r>
      <w:r>
        <w:rPr>
          <w:sz w:val="27"/>
        </w:rPr>
        <w:t>5</w:t>
      </w:r>
      <w:r>
        <w:rPr>
          <w:sz w:val="27"/>
        </w:rPr>
        <w:t>,</w:t>
      </w:r>
      <w:r>
        <w:rPr>
          <w:sz w:val="27"/>
        </w:rPr>
        <w:t>4</w:t>
      </w:r>
      <w:r>
        <w:rPr>
          <w:sz w:val="27"/>
        </w:rPr>
        <w:t xml:space="preserve"> </w:t>
      </w:r>
      <w:r>
        <w:rPr>
          <w:sz w:val="27"/>
        </w:rPr>
        <w:t>%</w:t>
      </w:r>
      <w:r>
        <w:rPr>
          <w:sz w:val="27"/>
        </w:rPr>
        <w:t xml:space="preserve"> (рост к </w:t>
      </w:r>
      <w:r>
        <w:rPr>
          <w:sz w:val="27"/>
        </w:rPr>
        <w:t>декабрю</w:t>
      </w:r>
      <w:r>
        <w:rPr>
          <w:sz w:val="27"/>
        </w:rPr>
        <w:t xml:space="preserve"> 20</w:t>
      </w:r>
      <w:r>
        <w:rPr>
          <w:sz w:val="27"/>
        </w:rPr>
        <w:t>2</w:t>
      </w:r>
      <w:r>
        <w:rPr>
          <w:sz w:val="27"/>
        </w:rPr>
        <w:t>1</w:t>
      </w:r>
      <w:r>
        <w:rPr>
          <w:sz w:val="27"/>
        </w:rPr>
        <w:t xml:space="preserve"> года)</w:t>
      </w:r>
      <w:r>
        <w:rPr>
          <w:sz w:val="27"/>
        </w:rPr>
        <w:t>, дифференцированные по муниципальным образованиям</w:t>
      </w:r>
      <w:r>
        <w:rPr>
          <w:sz w:val="27"/>
        </w:rPr>
        <w:t xml:space="preserve"> области.</w:t>
      </w:r>
    </w:p>
    <w:p w14:paraId="34000000">
      <w:pPr>
        <w:ind w:firstLine="708"/>
        <w:jc w:val="both"/>
        <w:rPr>
          <w:sz w:val="27"/>
        </w:rPr>
      </w:pPr>
      <w:r>
        <w:rPr>
          <w:sz w:val="27"/>
        </w:rPr>
        <w:t>По результатам тарифного регулирования фактический индекс в среднем по Ростовской области в сентябре</w:t>
      </w:r>
      <w:r>
        <w:rPr>
          <w:sz w:val="27"/>
        </w:rPr>
        <w:t xml:space="preserve"> 2022 года составил 3,2 %, при установленном Правительством Российской Федерации 3,8 %.</w:t>
      </w:r>
    </w:p>
    <w:p w14:paraId="35000000">
      <w:pPr>
        <w:ind w:firstLine="72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Региональной службой по тарифам Ростовской области (далее – РСТ)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сентябрь</w:t>
      </w:r>
      <w:r>
        <w:rPr>
          <w:rFonts w:ascii="Times New Roman" w:hAnsi="Times New Roman"/>
          <w:sz w:val="27"/>
        </w:rPr>
        <w:t xml:space="preserve"> 2022 года. </w:t>
      </w:r>
    </w:p>
    <w:p w14:paraId="36000000">
      <w:pPr>
        <w:ind w:firstLine="72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адрес РСТ органами местного самоуправления представлена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14:paraId="37000000">
      <w:pPr>
        <w:ind w:firstLine="72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По результатам указанного мониторинга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за сентябрь</w:t>
      </w:r>
      <w:r>
        <w:rPr>
          <w:rFonts w:ascii="Times New Roman" w:hAnsi="Times New Roman"/>
          <w:sz w:val="27"/>
        </w:rPr>
        <w:t xml:space="preserve"> 2022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15.12.2021 № 324 предельных значений (с учетом субсидий).</w:t>
      </w:r>
    </w:p>
    <w:p w14:paraId="38000000">
      <w:pPr>
        <w:ind w:firstLine="708"/>
        <w:jc w:val="both"/>
        <w:rPr>
          <w:sz w:val="27"/>
        </w:rPr>
      </w:pPr>
      <w:r>
        <w:rPr>
          <w:sz w:val="27"/>
        </w:rPr>
        <w:t>Статистика изменения размера платы граждан за коммунальные услуги по муниципальным образованиям Ростовской области в сентябре</w:t>
      </w:r>
      <w:r>
        <w:rPr>
          <w:sz w:val="27"/>
        </w:rPr>
        <w:t xml:space="preserve"> 20</w:t>
      </w:r>
      <w:r>
        <w:rPr>
          <w:sz w:val="27"/>
        </w:rPr>
        <w:t>22</w:t>
      </w:r>
      <w:r>
        <w:rPr>
          <w:sz w:val="27"/>
        </w:rPr>
        <w:t xml:space="preserve"> года приведена в таблице:</w:t>
      </w:r>
    </w:p>
    <w:p w14:paraId="39000000">
      <w:pPr>
        <w:ind w:firstLine="708"/>
        <w:jc w:val="both"/>
        <w:rPr>
          <w:sz w:val="27"/>
        </w:rPr>
      </w:pPr>
    </w:p>
    <w:p w14:paraId="3A000000">
      <w:pPr>
        <w:ind w:firstLine="708"/>
        <w:jc w:val="both"/>
        <w:rPr>
          <w:sz w:val="27"/>
        </w:rPr>
      </w:pPr>
    </w:p>
    <w:p w14:paraId="3B000000">
      <w:pPr>
        <w:ind w:firstLine="708"/>
        <w:jc w:val="both"/>
        <w:rPr>
          <w:sz w:val="27"/>
        </w:rPr>
      </w:pPr>
    </w:p>
    <w:p w14:paraId="3C000000">
      <w:pPr>
        <w:ind/>
        <w:jc w:val="both"/>
        <w:rPr>
          <w:sz w:val="28"/>
        </w:rPr>
      </w:pPr>
    </w:p>
    <w:p w14:paraId="3D000000">
      <w:pPr>
        <w:ind/>
        <w:jc w:val="both"/>
        <w:rPr>
          <w:sz w:val="28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92"/>
        <w:gridCol w:w="1890"/>
        <w:gridCol w:w="2030"/>
        <w:gridCol w:w="1773"/>
        <w:gridCol w:w="1971"/>
        <w:gridCol w:w="1427"/>
      </w:tblGrid>
      <w:tr>
        <w:tc>
          <w:tcPr>
            <w:tcW w:type="dxa" w:w="5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</w:pPr>
            <w:r>
              <w:t>№</w:t>
            </w:r>
          </w:p>
          <w:p w14:paraId="3F000000">
            <w:pPr>
              <w:ind/>
              <w:jc w:val="center"/>
            </w:pPr>
            <w:r>
              <w:t>п/п</w:t>
            </w:r>
          </w:p>
          <w:p w14:paraId="40000000">
            <w:pPr>
              <w:ind/>
              <w:jc w:val="center"/>
            </w:pPr>
          </w:p>
        </w:tc>
        <w:tc>
          <w:tcPr>
            <w:tcW w:type="dxa" w:w="18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</w:pPr>
            <w:r>
              <w:t>Максимальный прирост платы в сентябре</w:t>
            </w:r>
            <w:r>
              <w:t xml:space="preserve"> 2022 года, %</w:t>
            </w:r>
          </w:p>
        </w:tc>
        <w:tc>
          <w:tcPr>
            <w:tcW w:type="dxa" w:w="38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</w:pPr>
            <w:r>
              <w:t>Установленные предельные индексы  по муниципальным образованиям Ростовской области</w:t>
            </w:r>
          </w:p>
        </w:tc>
        <w:tc>
          <w:tcPr>
            <w:tcW w:type="dxa" w:w="33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</w:pPr>
            <w:r>
              <w:t xml:space="preserve">Фактические индексы по </w:t>
            </w:r>
            <w:r>
              <w:t>муниципальным образованиям Ростовской области</w:t>
            </w:r>
          </w:p>
        </w:tc>
      </w:tr>
      <w:tr>
        <w:tc>
          <w:tcPr>
            <w:tcW w:type="dxa" w:w="5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center"/>
            </w:pPr>
            <w:r>
              <w:t>количество МО, шт.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center"/>
            </w:pPr>
            <w:r>
              <w:t>доля МО, %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</w:pPr>
            <w:r>
              <w:t>количество МО, шт.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center"/>
            </w:pPr>
            <w:r>
              <w:t>доля МО, %</w:t>
            </w: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</w:pPr>
            <w:r>
              <w:t>1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/>
              <w:jc w:val="center"/>
            </w:pPr>
            <w:r>
              <w:t xml:space="preserve">до </w:t>
            </w:r>
            <w:r>
              <w:t xml:space="preserve">3,9 </w:t>
            </w:r>
            <w:r>
              <w:t xml:space="preserve">(включительно)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center"/>
            </w:pPr>
            <w:r>
              <w:t>16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center"/>
            </w:pPr>
            <w:r>
              <w:t>3,81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center"/>
            </w:pPr>
            <w:r>
              <w:t>113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/>
              <w:jc w:val="center"/>
            </w:pPr>
            <w:r>
              <w:t>26,90</w:t>
            </w: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</w:pPr>
            <w:r>
              <w:t>2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ind/>
              <w:jc w:val="center"/>
            </w:pPr>
            <w:r>
              <w:t xml:space="preserve">от </w:t>
            </w:r>
            <w:r>
              <w:t>3,9</w:t>
            </w:r>
            <w:r>
              <w:t xml:space="preserve"> до </w:t>
            </w:r>
            <w:r>
              <w:t>5,4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center"/>
            </w:pPr>
            <w:r>
              <w:t>404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/>
              <w:jc w:val="center"/>
            </w:pPr>
            <w:r>
              <w:t>96,19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center"/>
            </w:pPr>
            <w:r>
              <w:t>307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center"/>
            </w:pPr>
            <w:r>
              <w:t>73,10</w:t>
            </w:r>
          </w:p>
        </w:tc>
      </w:tr>
    </w:tbl>
    <w:p w14:paraId="54000000">
      <w:pPr>
        <w:ind/>
        <w:jc w:val="both"/>
        <w:rPr>
          <w:sz w:val="28"/>
        </w:rPr>
      </w:pPr>
    </w:p>
    <w:p w14:paraId="55000000">
      <w:pPr>
        <w:ind w:hanging="142" w:left="142"/>
        <w:rPr>
          <w:sz w:val="27"/>
        </w:rPr>
      </w:pPr>
    </w:p>
    <w:p w14:paraId="56000000">
      <w:pPr>
        <w:ind w:hanging="142" w:left="142"/>
        <w:rPr>
          <w:sz w:val="27"/>
        </w:rPr>
      </w:pPr>
    </w:p>
    <w:p w14:paraId="57000000">
      <w:pPr>
        <w:ind w:hanging="142" w:left="142"/>
        <w:rPr>
          <w:sz w:val="27"/>
        </w:rPr>
      </w:pPr>
      <w:r>
        <w:rPr>
          <w:sz w:val="27"/>
        </w:rPr>
        <w:t>Заведующий</w:t>
      </w:r>
      <w:r>
        <w:rPr>
          <w:sz w:val="27"/>
        </w:rPr>
        <w:t xml:space="preserve"> сектор</w:t>
      </w:r>
      <w:r>
        <w:rPr>
          <w:sz w:val="27"/>
        </w:rPr>
        <w:t>ом</w:t>
      </w:r>
    </w:p>
    <w:p w14:paraId="58000000">
      <w:pPr>
        <w:ind w:hanging="142" w:left="142"/>
        <w:rPr>
          <w:sz w:val="27"/>
        </w:rPr>
      </w:pPr>
      <w:r>
        <w:rPr>
          <w:sz w:val="27"/>
        </w:rPr>
        <w:t>мониторинга регулируемых цен (тарифов)</w:t>
      </w:r>
    </w:p>
    <w:p w14:paraId="59000000">
      <w:pPr>
        <w:ind w:hanging="142" w:left="142"/>
        <w:rPr>
          <w:sz w:val="27"/>
        </w:rPr>
      </w:pPr>
      <w:r>
        <w:rPr>
          <w:sz w:val="27"/>
        </w:rPr>
        <w:t>управления контрольной работы</w:t>
      </w:r>
    </w:p>
    <w:p w14:paraId="5A000000">
      <w:pPr>
        <w:ind w:hanging="142" w:left="142"/>
        <w:rPr>
          <w:sz w:val="27"/>
        </w:rPr>
      </w:pPr>
      <w:r>
        <w:rPr>
          <w:sz w:val="27"/>
        </w:rPr>
        <w:t>и организационного обеспечения</w:t>
      </w:r>
    </w:p>
    <w:p w14:paraId="5B000000">
      <w:pPr>
        <w:ind w:hanging="142" w:left="142"/>
        <w:rPr>
          <w:sz w:val="27"/>
        </w:rPr>
      </w:pPr>
      <w:r>
        <w:rPr>
          <w:sz w:val="27"/>
        </w:rPr>
        <w:t>Региональной службы по тарифам</w:t>
      </w:r>
    </w:p>
    <w:p w14:paraId="5C000000">
      <w:pPr>
        <w:ind w:hanging="142" w:left="142"/>
        <w:rPr>
          <w:sz w:val="27"/>
        </w:rPr>
      </w:pPr>
      <w:r>
        <w:rPr>
          <w:sz w:val="27"/>
        </w:rPr>
        <w:t xml:space="preserve">Ростовской области                       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 xml:space="preserve">      </w:t>
      </w:r>
      <w:r>
        <w:rPr>
          <w:sz w:val="27"/>
        </w:rPr>
        <w:t>Е</w:t>
      </w:r>
      <w:r>
        <w:rPr>
          <w:sz w:val="27"/>
        </w:rPr>
        <w:t>.</w:t>
      </w:r>
      <w:r>
        <w:rPr>
          <w:sz w:val="27"/>
        </w:rPr>
        <w:t>К</w:t>
      </w:r>
      <w:r>
        <w:rPr>
          <w:sz w:val="27"/>
        </w:rPr>
        <w:t xml:space="preserve">. </w:t>
      </w:r>
      <w:r>
        <w:rPr>
          <w:sz w:val="27"/>
        </w:rPr>
        <w:t>Гнитеева</w:t>
      </w:r>
    </w:p>
    <w:sectPr>
      <w:pgSz w:h="16838" w:orient="portrait" w:w="11906"/>
      <w:pgMar w:bottom="720" w:footer="720" w:gutter="0" w:header="720" w:left="1304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2" w:type="paragraph">
    <w:name w:val="ConsTitle"/>
    <w:link w:val="Style_2_ch"/>
    <w:pPr>
      <w:widowControl w:val="0"/>
      <w:ind/>
    </w:pPr>
    <w:rPr>
      <w:rFonts w:ascii="Arial" w:hAnsi="Arial"/>
      <w:b w:val="1"/>
      <w:sz w:val="16"/>
    </w:rPr>
  </w:style>
  <w:style w:styleId="Style_2_ch" w:type="character">
    <w:name w:val="ConsTitle"/>
    <w:link w:val="Style_2"/>
    <w:rPr>
      <w:rFonts w:ascii="Arial" w:hAnsi="Arial"/>
      <w:b w:val="1"/>
      <w:sz w:val="16"/>
    </w:rPr>
  </w:style>
  <w:style w:styleId="Style_8" w:type="paragraph">
    <w:name w:val="Normal (Web)"/>
    <w:basedOn w:val="Style_5"/>
    <w:link w:val="Style_8_ch"/>
    <w:pPr>
      <w:spacing w:afterAutospacing="on" w:beforeAutospacing="on"/>
      <w:ind/>
    </w:pPr>
  </w:style>
  <w:style w:styleId="Style_8_ch" w:type="character">
    <w:name w:val="Normal (Web)"/>
    <w:basedOn w:val="Style_5_ch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ody Text Indent 2"/>
    <w:basedOn w:val="Style_5"/>
    <w:link w:val="Style_11_ch"/>
    <w:pPr>
      <w:ind w:firstLine="708"/>
    </w:pPr>
    <w:rPr>
      <w:sz w:val="28"/>
    </w:rPr>
  </w:style>
  <w:style w:styleId="Style_11_ch" w:type="character">
    <w:name w:val="Body Text Indent 2"/>
    <w:basedOn w:val="Style_5_ch"/>
    <w:link w:val="Style_11"/>
    <w:rPr>
      <w:sz w:val="28"/>
    </w:rPr>
  </w:style>
  <w:style w:styleId="Style_12" w:type="paragraph">
    <w:name w:val="Font Style14"/>
    <w:link w:val="Style_12_ch"/>
    <w:rPr>
      <w:rFonts w:ascii="Times New Roman" w:hAnsi="Times New Roman"/>
      <w:sz w:val="26"/>
    </w:rPr>
  </w:style>
  <w:style w:styleId="Style_12_ch" w:type="character">
    <w:name w:val="Font Style14"/>
    <w:link w:val="Style_12"/>
    <w:rPr>
      <w:rFonts w:ascii="Times New Roman" w:hAnsi="Times New Roman"/>
      <w:sz w:val="26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 Знак"/>
    <w:basedOn w:val="Style_5"/>
    <w:link w:val="Style_14_ch"/>
    <w:pPr>
      <w:spacing w:afterAutospacing="on" w:beforeAutospacing="on"/>
      <w:ind/>
    </w:pPr>
    <w:rPr>
      <w:rFonts w:ascii="Tahoma" w:hAnsi="Tahoma"/>
      <w:sz w:val="20"/>
    </w:rPr>
  </w:style>
  <w:style w:styleId="Style_14_ch" w:type="character">
    <w:name w:val=" Знак"/>
    <w:basedOn w:val="Style_5_ch"/>
    <w:link w:val="Style_14"/>
    <w:rPr>
      <w:rFonts w:ascii="Tahoma" w:hAnsi="Tahoma"/>
      <w:sz w:val="20"/>
    </w:rPr>
  </w:style>
  <w:style w:styleId="Style_15" w:type="paragraph">
    <w:name w:val="Знак1 Знак Знак Знак"/>
    <w:basedOn w:val="Style_5"/>
    <w:link w:val="Style_15_ch"/>
    <w:pPr>
      <w:spacing w:afterAutospacing="on" w:beforeAutospacing="on"/>
      <w:ind/>
    </w:pPr>
    <w:rPr>
      <w:rFonts w:ascii="Tahoma" w:hAnsi="Tahoma"/>
      <w:sz w:val="20"/>
    </w:rPr>
  </w:style>
  <w:style w:styleId="Style_15_ch" w:type="character">
    <w:name w:val="Знак1 Знак Знак Знак"/>
    <w:basedOn w:val="Style_5_ch"/>
    <w:link w:val="Style_15"/>
    <w:rPr>
      <w:rFonts w:ascii="Tahoma" w:hAnsi="Tahoma"/>
      <w:sz w:val="20"/>
    </w:rPr>
  </w:style>
  <w:style w:styleId="Style_16" w:type="paragraph">
    <w:name w:val="Font Style11"/>
    <w:link w:val="Style_16_ch"/>
    <w:rPr>
      <w:rFonts w:ascii="Times New Roman" w:hAnsi="Times New Roman"/>
      <w:b w:val="1"/>
      <w:sz w:val="26"/>
    </w:rPr>
  </w:style>
  <w:style w:styleId="Style_16_ch" w:type="character">
    <w:name w:val="Font Style11"/>
    <w:link w:val="Style_16"/>
    <w:rPr>
      <w:rFonts w:ascii="Times New Roman" w:hAnsi="Times New Roman"/>
      <w:b w:val="1"/>
      <w:sz w:val="26"/>
    </w:rPr>
  </w:style>
  <w:style w:styleId="Style_17" w:type="paragraph">
    <w:name w:val="ConsPlusNonformat"/>
    <w:link w:val="Style_17_ch"/>
    <w:rPr>
      <w:rFonts w:ascii="Courier New" w:hAnsi="Courier New"/>
    </w:rPr>
  </w:style>
  <w:style w:styleId="Style_17_ch" w:type="character">
    <w:name w:val="ConsPlusNonformat"/>
    <w:link w:val="Style_17"/>
    <w:rPr>
      <w:rFonts w:ascii="Courier New" w:hAnsi="Courier New"/>
    </w:rPr>
  </w:style>
  <w:style w:styleId="Style_18" w:type="paragraph">
    <w:name w:val="Знак"/>
    <w:basedOn w:val="Style_5"/>
    <w:link w:val="Style_18_ch"/>
    <w:pPr>
      <w:spacing w:afterAutospacing="on" w:beforeAutospacing="on"/>
      <w:ind/>
    </w:pPr>
    <w:rPr>
      <w:rFonts w:ascii="Tahoma" w:hAnsi="Tahoma"/>
      <w:sz w:val="20"/>
    </w:rPr>
  </w:style>
  <w:style w:styleId="Style_18_ch" w:type="character">
    <w:name w:val="Знак"/>
    <w:basedOn w:val="Style_5_ch"/>
    <w:link w:val="Style_18"/>
    <w:rPr>
      <w:rFonts w:ascii="Tahoma" w:hAnsi="Tahoma"/>
      <w:sz w:val="20"/>
    </w:rPr>
  </w:style>
  <w:style w:styleId="Style_19" w:type="paragraph">
    <w:name w:val="toc 3"/>
    <w:next w:val="Style_5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Balloon Text"/>
    <w:basedOn w:val="Style_5"/>
    <w:link w:val="Style_20_ch"/>
    <w:rPr>
      <w:rFonts w:ascii="Tahoma" w:hAnsi="Tahoma"/>
      <w:sz w:val="16"/>
    </w:rPr>
  </w:style>
  <w:style w:styleId="Style_20_ch" w:type="character">
    <w:name w:val="Balloon Text"/>
    <w:basedOn w:val="Style_5_ch"/>
    <w:link w:val="Style_20"/>
    <w:rPr>
      <w:rFonts w:ascii="Tahoma" w:hAnsi="Tahoma"/>
      <w:sz w:val="16"/>
    </w:rPr>
  </w:style>
  <w:style w:styleId="Style_4" w:type="paragraph">
    <w:name w:val="Default"/>
    <w:link w:val="Style_4_ch"/>
    <w:rPr>
      <w:color w:val="000000"/>
      <w:sz w:val="24"/>
    </w:rPr>
  </w:style>
  <w:style w:styleId="Style_4_ch" w:type="character">
    <w:name w:val="Default"/>
    <w:link w:val="Style_4"/>
    <w:rPr>
      <w:color w:val="000000"/>
      <w:sz w:val="24"/>
    </w:rPr>
  </w:style>
  <w:style w:styleId="Style_21" w:type="paragraph">
    <w:name w:val="heading 5"/>
    <w:next w:val="Style_5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5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5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5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" w:type="paragraph">
    <w:name w:val="ConsPlusNormal"/>
    <w:link w:val="Style_3_ch"/>
    <w:pPr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30" w:type="paragraph">
    <w:name w:val="toc 5"/>
    <w:next w:val="Style_5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Body Text"/>
    <w:basedOn w:val="Style_5"/>
    <w:link w:val="Style_31_ch"/>
    <w:pPr>
      <w:spacing w:after="120"/>
      <w:ind/>
    </w:pPr>
  </w:style>
  <w:style w:styleId="Style_31_ch" w:type="character">
    <w:name w:val="Body Text"/>
    <w:basedOn w:val="Style_5_ch"/>
    <w:link w:val="Style_31"/>
  </w:style>
  <w:style w:styleId="Style_32" w:type="paragraph">
    <w:name w:val=" Знак1 Знак Знак Знак"/>
    <w:basedOn w:val="Style_5"/>
    <w:link w:val="Style_32_ch"/>
    <w:pPr>
      <w:spacing w:afterAutospacing="on" w:beforeAutospacing="on"/>
      <w:ind/>
    </w:pPr>
    <w:rPr>
      <w:rFonts w:ascii="Tahoma" w:hAnsi="Tahoma"/>
      <w:sz w:val="20"/>
    </w:rPr>
  </w:style>
  <w:style w:styleId="Style_32_ch" w:type="character">
    <w:name w:val=" Знак1 Знак Знак Знак"/>
    <w:basedOn w:val="Style_5_ch"/>
    <w:link w:val="Style_32"/>
    <w:rPr>
      <w:rFonts w:ascii="Tahoma" w:hAnsi="Tahoma"/>
      <w:sz w:val="20"/>
    </w:rPr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ConsPlusTitle"/>
    <w:link w:val="Style_34_ch"/>
    <w:rPr>
      <w:rFonts w:ascii="Arial" w:hAnsi="Arial"/>
      <w:b w:val="1"/>
    </w:rPr>
  </w:style>
  <w:style w:styleId="Style_34_ch" w:type="character">
    <w:name w:val="ConsPlusTitle"/>
    <w:link w:val="Style_34"/>
    <w:rPr>
      <w:rFonts w:ascii="Arial" w:hAnsi="Arial"/>
      <w:b w:val="1"/>
    </w:rPr>
  </w:style>
  <w:style w:styleId="Style_35" w:type="paragraph">
    <w:name w:val="toc 10"/>
    <w:next w:val="Style_5"/>
    <w:link w:val="Style_35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35_ch" w:type="character">
    <w:name w:val="toc 10"/>
    <w:link w:val="Style_35"/>
    <w:rPr>
      <w:rFonts w:ascii="XO Thames" w:hAnsi="XO Thames"/>
      <w:sz w:val="28"/>
    </w:rPr>
  </w:style>
  <w:style w:styleId="Style_36" w:type="paragraph">
    <w:name w:val="Title"/>
    <w:next w:val="Style_5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5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2022-10-13T13:45:56Z</dcterms:modified>
</cp:coreProperties>
</file>