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14.11.2022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62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14.11.20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62/1</w:t>
      </w:r>
    </w:p>
    <w:p w14:paraId="10000000">
      <w:pPr>
        <w:ind/>
        <w:jc w:val="center"/>
        <w:rPr>
          <w:b w:val="1"/>
          <w:color w:val="000000"/>
          <w:sz w:val="27"/>
        </w:rPr>
      </w:pPr>
    </w:p>
    <w:p w14:paraId="11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за октябрь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6000000">
      <w:pPr>
        <w:pStyle w:val="Style_3"/>
        <w:ind w:firstLine="540"/>
        <w:jc w:val="center"/>
        <w:rPr>
          <w:sz w:val="27"/>
        </w:rPr>
      </w:pPr>
    </w:p>
    <w:p w14:paraId="17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8000000">
      <w:pPr>
        <w:spacing w:line="264" w:lineRule="auto"/>
        <w:ind/>
        <w:jc w:val="both"/>
        <w:rPr>
          <w:sz w:val="27"/>
        </w:rPr>
      </w:pPr>
    </w:p>
    <w:p w14:paraId="19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A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B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>Ростовской области за октябрь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E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3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14.11.2022</w:t>
      </w:r>
      <w:r>
        <w:t xml:space="preserve"> </w:t>
      </w:r>
      <w:r>
        <w:t>№</w:t>
      </w:r>
      <w:r>
        <w:t xml:space="preserve"> 62/1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>октябрь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ind w:firstLine="708"/>
        <w:jc w:val="both"/>
        <w:rPr>
          <w:sz w:val="27"/>
        </w:rPr>
      </w:pPr>
      <w:r>
        <w:rPr>
          <w:sz w:val="27"/>
        </w:rPr>
        <w:t>По результатам тарифного регулирования фактический индекс в среднем по Ростовской области в октябре</w:t>
      </w:r>
      <w:r>
        <w:rPr>
          <w:sz w:val="27"/>
        </w:rPr>
        <w:t xml:space="preserve"> 2022 года составил 3,4 %, при установленном Правительством Российской Федерации 3,8 %.</w:t>
      </w:r>
    </w:p>
    <w:p w14:paraId="35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октябрь</w:t>
      </w:r>
      <w:r>
        <w:rPr>
          <w:rFonts w:ascii="Times New Roman" w:hAnsi="Times New Roman"/>
          <w:sz w:val="27"/>
        </w:rPr>
        <w:t xml:space="preserve"> 2022 года. </w:t>
      </w:r>
    </w:p>
    <w:p w14:paraId="36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14:paraId="37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октябрь</w:t>
      </w:r>
      <w:r>
        <w:rPr>
          <w:rFonts w:ascii="Times New Roman" w:hAnsi="Times New Roman"/>
          <w:sz w:val="27"/>
        </w:rPr>
        <w:t xml:space="preserve"> 2022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15.12.2021 № 324 предельных значений (с учетом субсидий).</w:t>
      </w:r>
    </w:p>
    <w:p w14:paraId="3800000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октябре</w:t>
      </w:r>
      <w:r>
        <w:rPr>
          <w:sz w:val="27"/>
        </w:rPr>
        <w:t xml:space="preserve"> 20</w:t>
      </w:r>
      <w:r>
        <w:rPr>
          <w:sz w:val="27"/>
        </w:rPr>
        <w:t>22</w:t>
      </w:r>
      <w:r>
        <w:rPr>
          <w:sz w:val="27"/>
        </w:rPr>
        <w:t xml:space="preserve"> года приведена в таблице:</w:t>
      </w:r>
    </w:p>
    <w:p w14:paraId="39000000">
      <w:pPr>
        <w:ind w:firstLine="708"/>
        <w:jc w:val="both"/>
        <w:rPr>
          <w:sz w:val="27"/>
        </w:rPr>
      </w:pPr>
    </w:p>
    <w:p w14:paraId="3A000000">
      <w:pPr>
        <w:ind w:firstLine="708"/>
        <w:jc w:val="both"/>
        <w:rPr>
          <w:sz w:val="27"/>
        </w:rPr>
      </w:pPr>
    </w:p>
    <w:p w14:paraId="3B000000">
      <w:pPr>
        <w:ind w:firstLine="708"/>
        <w:jc w:val="both"/>
        <w:rPr>
          <w:sz w:val="27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2"/>
        <w:gridCol w:w="1890"/>
        <w:gridCol w:w="2030"/>
        <w:gridCol w:w="1773"/>
        <w:gridCol w:w="1971"/>
        <w:gridCol w:w="1427"/>
      </w:tblGrid>
      <w:tr>
        <w:tc>
          <w:tcPr>
            <w:tcW w:type="dxa" w:w="5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</w:pPr>
            <w:r>
              <w:t>№</w:t>
            </w:r>
          </w:p>
          <w:p w14:paraId="3F000000">
            <w:pPr>
              <w:ind/>
              <w:jc w:val="center"/>
            </w:pPr>
            <w:r>
              <w:t>п/п</w:t>
            </w:r>
          </w:p>
          <w:p w14:paraId="40000000">
            <w:pPr>
              <w:ind/>
              <w:jc w:val="center"/>
            </w:pPr>
          </w:p>
        </w:tc>
        <w:tc>
          <w:tcPr>
            <w:tcW w:type="dxa" w:w="1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</w:pPr>
            <w:r>
              <w:t>Максимальный прирост платы в октябре</w:t>
            </w:r>
            <w:r>
              <w:t xml:space="preserve"> 2022 года, %</w:t>
            </w:r>
          </w:p>
        </w:tc>
        <w:tc>
          <w:tcPr>
            <w:tcW w:type="dxa" w:w="38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type="dxa" w:w="3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</w:pPr>
            <w:r>
              <w:t xml:space="preserve">Фактические индексы по </w:t>
            </w:r>
            <w:r>
              <w:t>муниципальным образованиям Ростовской области</w:t>
            </w:r>
          </w:p>
        </w:tc>
      </w:tr>
      <w:tr>
        <w:tc>
          <w:tcPr>
            <w:tcW w:type="dxa" w:w="5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</w:pPr>
            <w:r>
              <w:t>доля МО, %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</w:pPr>
            <w:r>
              <w:t>доля МО, %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t>1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</w:pPr>
            <w:r>
              <w:t xml:space="preserve">до </w:t>
            </w:r>
            <w:r>
              <w:t xml:space="preserve">3,9 </w:t>
            </w:r>
            <w:r>
              <w:t xml:space="preserve">(включительно)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</w:pPr>
            <w:r>
              <w:t>16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</w:pPr>
            <w:r>
              <w:t>3,81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</w:pPr>
            <w:r>
              <w:t>127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</w:pPr>
            <w:r>
              <w:t>30,24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</w:pPr>
            <w:r>
              <w:t>2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</w:pPr>
            <w:r>
              <w:t xml:space="preserve">от </w:t>
            </w:r>
            <w:r>
              <w:t>3,9</w:t>
            </w:r>
            <w:r>
              <w:t xml:space="preserve"> до </w:t>
            </w:r>
            <w:r>
              <w:t>5,4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</w:pPr>
            <w:r>
              <w:t>404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</w:pPr>
            <w:r>
              <w:t>96,19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</w:pPr>
            <w:r>
              <w:t>293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</w:pPr>
            <w:r>
              <w:t>69,76</w:t>
            </w:r>
          </w:p>
        </w:tc>
      </w:tr>
    </w:tbl>
    <w:p w14:paraId="54000000">
      <w:pPr>
        <w:ind/>
        <w:jc w:val="both"/>
        <w:rPr>
          <w:sz w:val="28"/>
        </w:rPr>
      </w:pPr>
    </w:p>
    <w:p w14:paraId="55000000">
      <w:pPr>
        <w:ind w:hanging="142" w:left="142"/>
        <w:rPr>
          <w:sz w:val="27"/>
        </w:rPr>
      </w:pPr>
    </w:p>
    <w:p w14:paraId="56000000">
      <w:pPr>
        <w:ind w:hanging="142" w:left="142"/>
        <w:rPr>
          <w:sz w:val="27"/>
        </w:rPr>
      </w:pPr>
    </w:p>
    <w:p w14:paraId="57000000">
      <w:pPr>
        <w:ind w:hanging="142" w:left="142"/>
        <w:rPr>
          <w:sz w:val="27"/>
        </w:rPr>
      </w:pPr>
      <w:r>
        <w:rPr>
          <w:sz w:val="27"/>
        </w:rPr>
        <w:t>Заведующий</w:t>
      </w:r>
      <w:r>
        <w:rPr>
          <w:sz w:val="27"/>
        </w:rPr>
        <w:t xml:space="preserve"> сектор</w:t>
      </w:r>
      <w:r>
        <w:rPr>
          <w:sz w:val="27"/>
        </w:rPr>
        <w:t>ом</w:t>
      </w:r>
    </w:p>
    <w:p w14:paraId="58000000">
      <w:pPr>
        <w:ind w:hanging="142" w:left="142"/>
        <w:rPr>
          <w:sz w:val="27"/>
        </w:rPr>
      </w:pPr>
      <w:r>
        <w:rPr>
          <w:sz w:val="27"/>
        </w:rPr>
        <w:t>мониторинга регулируемых цен (тарифов)</w:t>
      </w:r>
    </w:p>
    <w:p w14:paraId="59000000">
      <w:pPr>
        <w:ind w:hanging="142" w:left="142"/>
        <w:rPr>
          <w:sz w:val="27"/>
        </w:rPr>
      </w:pPr>
      <w:r>
        <w:rPr>
          <w:sz w:val="27"/>
        </w:rPr>
        <w:t>управления контрольной работы</w:t>
      </w:r>
    </w:p>
    <w:p w14:paraId="5A000000">
      <w:pPr>
        <w:ind w:hanging="142" w:left="142"/>
        <w:rPr>
          <w:sz w:val="27"/>
        </w:rPr>
      </w:pPr>
      <w:r>
        <w:rPr>
          <w:sz w:val="27"/>
        </w:rPr>
        <w:t>и организационного обеспечения</w:t>
      </w:r>
    </w:p>
    <w:p w14:paraId="5B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5C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>Е</w:t>
      </w:r>
      <w:r>
        <w:rPr>
          <w:sz w:val="27"/>
        </w:rPr>
        <w:t>.</w:t>
      </w:r>
      <w:r>
        <w:rPr>
          <w:sz w:val="27"/>
        </w:rPr>
        <w:t>К</w:t>
      </w:r>
      <w:r>
        <w:rPr>
          <w:sz w:val="27"/>
        </w:rPr>
        <w:t xml:space="preserve">. </w:t>
      </w:r>
      <w:r>
        <w:rPr>
          <w:sz w:val="27"/>
        </w:rPr>
        <w:t>Гнитеева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nt Style11"/>
    <w:link w:val="Style_8_ch"/>
    <w:rPr>
      <w:rFonts w:ascii="Times New Roman" w:hAnsi="Times New Roman"/>
      <w:b w:val="1"/>
      <w:sz w:val="26"/>
    </w:rPr>
  </w:style>
  <w:style w:styleId="Style_8_ch" w:type="character">
    <w:name w:val="Font Style11"/>
    <w:link w:val="Style_8"/>
    <w:rPr>
      <w:rFonts w:ascii="Times New Roman" w:hAnsi="Times New Roman"/>
      <w:b w:val="1"/>
      <w:sz w:val="26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 Знак"/>
    <w:basedOn w:val="Style_5"/>
    <w:link w:val="Style_11_ch"/>
    <w:pPr>
      <w:spacing w:afterAutospacing="on" w:beforeAutospacing="on"/>
      <w:ind/>
    </w:pPr>
    <w:rPr>
      <w:rFonts w:ascii="Tahoma" w:hAnsi="Tahoma"/>
      <w:sz w:val="20"/>
    </w:rPr>
  </w:style>
  <w:style w:styleId="Style_11_ch" w:type="character">
    <w:name w:val=" Знак"/>
    <w:basedOn w:val="Style_5_ch"/>
    <w:link w:val="Style_11"/>
    <w:rPr>
      <w:rFonts w:ascii="Tahoma" w:hAnsi="Tahoma"/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Font Style14"/>
    <w:link w:val="Style_14_ch"/>
    <w:rPr>
      <w:rFonts w:ascii="Times New Roman" w:hAnsi="Times New Roman"/>
      <w:sz w:val="26"/>
    </w:rPr>
  </w:style>
  <w:style w:styleId="Style_14_ch" w:type="character">
    <w:name w:val="Font Style14"/>
    <w:link w:val="Style_14"/>
    <w:rPr>
      <w:rFonts w:ascii="Times New Roman" w:hAnsi="Times New Roman"/>
      <w:sz w:val="26"/>
    </w:rPr>
  </w:style>
  <w:style w:styleId="Style_15" w:type="paragraph">
    <w:name w:val="Знак"/>
    <w:basedOn w:val="Style_5"/>
    <w:link w:val="Style_15_ch"/>
    <w:pPr>
      <w:spacing w:afterAutospacing="on" w:beforeAutospacing="on"/>
      <w:ind/>
    </w:pPr>
    <w:rPr>
      <w:rFonts w:ascii="Tahoma" w:hAnsi="Tahoma"/>
      <w:sz w:val="20"/>
    </w:rPr>
  </w:style>
  <w:style w:styleId="Style_15_ch" w:type="character">
    <w:name w:val="Знак"/>
    <w:basedOn w:val="Style_5_ch"/>
    <w:link w:val="Style_15"/>
    <w:rPr>
      <w:rFonts w:ascii="Tahoma" w:hAnsi="Tahoma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ody Text"/>
    <w:basedOn w:val="Style_5"/>
    <w:link w:val="Style_18_ch"/>
    <w:pPr>
      <w:spacing w:after="120"/>
      <w:ind/>
    </w:pPr>
  </w:style>
  <w:style w:styleId="Style_18_ch" w:type="character">
    <w:name w:val="Body Text"/>
    <w:basedOn w:val="Style_5_ch"/>
    <w:link w:val="Style_18"/>
  </w:style>
  <w:style w:styleId="Style_19" w:type="paragraph">
    <w:name w:val="Body Text Indent 2"/>
    <w:basedOn w:val="Style_5"/>
    <w:link w:val="Style_19_ch"/>
    <w:pPr>
      <w:ind w:firstLine="708"/>
    </w:pPr>
    <w:rPr>
      <w:sz w:val="28"/>
    </w:rPr>
  </w:style>
  <w:style w:styleId="Style_19_ch" w:type="character">
    <w:name w:val="Body Text Indent 2"/>
    <w:basedOn w:val="Style_5_ch"/>
    <w:link w:val="Style_19"/>
    <w:rPr>
      <w:sz w:val="28"/>
    </w:rPr>
  </w:style>
  <w:style w:styleId="Style_20" w:type="paragraph">
    <w:name w:val="ConsPlusTitle"/>
    <w:link w:val="Style_20_ch"/>
    <w:rPr>
      <w:rFonts w:ascii="Arial" w:hAnsi="Arial"/>
      <w:b w:val="1"/>
    </w:rPr>
  </w:style>
  <w:style w:styleId="Style_20_ch" w:type="character">
    <w:name w:val="ConsPlusTitle"/>
    <w:link w:val="Style_20"/>
    <w:rPr>
      <w:rFonts w:ascii="Arial" w:hAnsi="Arial"/>
      <w:b w:val="1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onsPlusNonformat"/>
    <w:link w:val="Style_23_ch"/>
    <w:rPr>
      <w:rFonts w:ascii="Courier New" w:hAnsi="Courier New"/>
    </w:rPr>
  </w:style>
  <w:style w:styleId="Style_23_ch" w:type="character">
    <w:name w:val="ConsPlusNonformat"/>
    <w:link w:val="Style_23"/>
    <w:rPr>
      <w:rFonts w:ascii="Courier New" w:hAnsi="Courier New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oc 10"/>
    <w:next w:val="Style_5"/>
    <w:link w:val="Style_32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2_ch" w:type="character">
    <w:name w:val="toc 10"/>
    <w:link w:val="Style_32"/>
    <w:rPr>
      <w:rFonts w:ascii="XO Thames" w:hAnsi="XO Thames"/>
      <w:sz w:val="28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Normal (Web)"/>
    <w:basedOn w:val="Style_5"/>
    <w:link w:val="Style_34_ch"/>
    <w:pPr>
      <w:spacing w:afterAutospacing="on" w:beforeAutospacing="on"/>
      <w:ind/>
    </w:pPr>
  </w:style>
  <w:style w:styleId="Style_34_ch" w:type="character">
    <w:name w:val="Normal (Web)"/>
    <w:basedOn w:val="Style_5_ch"/>
    <w:link w:val="Style_34"/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Знак1 Знак Знак Знак"/>
    <w:basedOn w:val="Style_5"/>
    <w:link w:val="Style_36_ch"/>
    <w:pPr>
      <w:spacing w:afterAutospacing="on" w:beforeAutospacing="on"/>
      <w:ind/>
    </w:pPr>
    <w:rPr>
      <w:rFonts w:ascii="Tahoma" w:hAnsi="Tahoma"/>
      <w:sz w:val="20"/>
    </w:rPr>
  </w:style>
  <w:style w:styleId="Style_36_ch" w:type="character">
    <w:name w:val="Знак1 Знак Знак Знак"/>
    <w:basedOn w:val="Style_5_ch"/>
    <w:link w:val="Style_36"/>
    <w:rPr>
      <w:rFonts w:ascii="Tahoma" w:hAnsi="Tahoma"/>
      <w:sz w:val="20"/>
    </w:rPr>
  </w:style>
  <w:style w:styleId="Style_37" w:type="paragraph">
    <w:name w:val=" Знак1 Знак Знак Знак"/>
    <w:basedOn w:val="Style_5"/>
    <w:link w:val="Style_37_ch"/>
    <w:pPr>
      <w:spacing w:afterAutospacing="on" w:beforeAutospacing="on"/>
      <w:ind/>
    </w:pPr>
    <w:rPr>
      <w:rFonts w:ascii="Tahoma" w:hAnsi="Tahoma"/>
      <w:sz w:val="20"/>
    </w:rPr>
  </w:style>
  <w:style w:styleId="Style_37_ch" w:type="character">
    <w:name w:val=" Знак1 Знак Знак Знак"/>
    <w:basedOn w:val="Style_5_ch"/>
    <w:link w:val="Style_37"/>
    <w:rPr>
      <w:rFonts w:ascii="Tahoma" w:hAnsi="Tahoma"/>
      <w:sz w:val="20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2022-11-14T06:13:20Z</dcterms:modified>
</cp:coreProperties>
</file>